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83B76" w14:textId="0FD296AC" w:rsidR="00ED242D" w:rsidRPr="00ED242D" w:rsidRDefault="00ED242D" w:rsidP="00ED242D">
      <w:pPr>
        <w:jc w:val="center"/>
        <w:rPr>
          <w:rFonts w:ascii="Calibri" w:hAnsi="Calibri" w:cs="Calibri"/>
          <w:b/>
          <w:bCs/>
        </w:rPr>
      </w:pPr>
      <w:r w:rsidRPr="00ED242D">
        <w:rPr>
          <w:rFonts w:ascii="Calibri" w:hAnsi="Calibri" w:cs="Calibri"/>
          <w:b/>
          <w:bCs/>
        </w:rPr>
        <w:t>Fast-tracking L2 proficiency via extramural learning</w:t>
      </w:r>
    </w:p>
    <w:p w14:paraId="4C96DFA8" w14:textId="7AAB425E" w:rsidR="00ED242D" w:rsidRDefault="00ED242D" w:rsidP="00ED242D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Dr Willy A Renandya</w:t>
      </w:r>
    </w:p>
    <w:p w14:paraId="78D32E17" w14:textId="54DB6ACF" w:rsidR="00ED242D" w:rsidRDefault="00ED242D" w:rsidP="00ED242D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National Institute of Education, Nanyang Technological University</w:t>
      </w:r>
    </w:p>
    <w:p w14:paraId="3183A417" w14:textId="77777777" w:rsidR="00ED242D" w:rsidRDefault="00ED242D" w:rsidP="00ED242D">
      <w:pPr>
        <w:rPr>
          <w:rFonts w:ascii="Calibri" w:hAnsi="Calibri" w:cs="Calibri"/>
        </w:rPr>
      </w:pPr>
    </w:p>
    <w:p w14:paraId="44DABC51" w14:textId="41F57B8E" w:rsidR="00ED242D" w:rsidRPr="00ED242D" w:rsidRDefault="00ED242D" w:rsidP="00ED242D">
      <w:pPr>
        <w:jc w:val="center"/>
        <w:rPr>
          <w:rFonts w:ascii="Calibri" w:hAnsi="Calibri" w:cs="Calibri"/>
          <w:b/>
          <w:bCs/>
        </w:rPr>
      </w:pPr>
      <w:r w:rsidRPr="00ED242D">
        <w:rPr>
          <w:rFonts w:ascii="Calibri" w:hAnsi="Calibri" w:cs="Calibri"/>
          <w:b/>
          <w:bCs/>
        </w:rPr>
        <w:t>Workshop Abstract</w:t>
      </w:r>
    </w:p>
    <w:p w14:paraId="2DE8C86C" w14:textId="753B8CC0" w:rsidR="00C324C6" w:rsidRPr="00ED242D" w:rsidRDefault="00ED242D" w:rsidP="00ED242D">
      <w:pPr>
        <w:rPr>
          <w:rFonts w:ascii="Calibri" w:hAnsi="Calibri" w:cs="Calibri"/>
        </w:rPr>
      </w:pPr>
      <w:r w:rsidRPr="00ED242D">
        <w:rPr>
          <w:rFonts w:ascii="Calibri" w:hAnsi="Calibri" w:cs="Calibri"/>
        </w:rPr>
        <w:t xml:space="preserve">This hands-on workshop explores how language learning happens both inside and outside the classroom, and why out-of-class (extramural) learning often yields the biggest benefits. While traditional teaching </w:t>
      </w:r>
      <w:r>
        <w:rPr>
          <w:rFonts w:ascii="Calibri" w:hAnsi="Calibri" w:cs="Calibri"/>
        </w:rPr>
        <w:t>often</w:t>
      </w:r>
      <w:r w:rsidRPr="00ED242D">
        <w:rPr>
          <w:rFonts w:ascii="Calibri" w:hAnsi="Calibri" w:cs="Calibri"/>
        </w:rPr>
        <w:t xml:space="preserve"> focus</w:t>
      </w:r>
      <w:r>
        <w:rPr>
          <w:rFonts w:ascii="Calibri" w:hAnsi="Calibri" w:cs="Calibri"/>
        </w:rPr>
        <w:t>es</w:t>
      </w:r>
      <w:r w:rsidRPr="00ED242D">
        <w:rPr>
          <w:rFonts w:ascii="Calibri" w:hAnsi="Calibri" w:cs="Calibri"/>
        </w:rPr>
        <w:t xml:space="preserve"> too heavily on formal grammar, fast-tracking proficiency requires shifting our focus toward building fluency and vocabulary through a healthy balance of input</w:t>
      </w:r>
      <w:r>
        <w:rPr>
          <w:rFonts w:ascii="Calibri" w:hAnsi="Calibri" w:cs="Calibri"/>
        </w:rPr>
        <w:t>-</w:t>
      </w:r>
      <w:r w:rsidRPr="00ED242D">
        <w:rPr>
          <w:rFonts w:ascii="Calibri" w:hAnsi="Calibri" w:cs="Calibri"/>
        </w:rPr>
        <w:t xml:space="preserve"> and output</w:t>
      </w:r>
      <w:r>
        <w:rPr>
          <w:rFonts w:ascii="Calibri" w:hAnsi="Calibri" w:cs="Calibri"/>
        </w:rPr>
        <w:t>-based learning activities</w:t>
      </w:r>
      <w:r w:rsidRPr="00ED242D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ED242D">
        <w:rPr>
          <w:rFonts w:ascii="Calibri" w:hAnsi="Calibri" w:cs="Calibri"/>
        </w:rPr>
        <w:t xml:space="preserve">Throughout the session, </w:t>
      </w:r>
      <w:r>
        <w:rPr>
          <w:rFonts w:ascii="Calibri" w:hAnsi="Calibri" w:cs="Calibri"/>
        </w:rPr>
        <w:t>I</w:t>
      </w:r>
      <w:r w:rsidRPr="00ED242D">
        <w:rPr>
          <w:rFonts w:ascii="Calibri" w:hAnsi="Calibri" w:cs="Calibri"/>
        </w:rPr>
        <w:t xml:space="preserve"> will </w:t>
      </w:r>
      <w:r>
        <w:rPr>
          <w:rFonts w:ascii="Calibri" w:hAnsi="Calibri" w:cs="Calibri"/>
        </w:rPr>
        <w:t>offer</w:t>
      </w:r>
      <w:r w:rsidRPr="00ED242D">
        <w:rPr>
          <w:rFonts w:ascii="Calibri" w:hAnsi="Calibri" w:cs="Calibri"/>
        </w:rPr>
        <w:t xml:space="preserve"> practical ways to leverage extramural learning for faster </w:t>
      </w:r>
      <w:r>
        <w:rPr>
          <w:rFonts w:ascii="Calibri" w:hAnsi="Calibri" w:cs="Calibri"/>
        </w:rPr>
        <w:t xml:space="preserve">and more enjoyable </w:t>
      </w:r>
      <w:r w:rsidRPr="00ED242D">
        <w:rPr>
          <w:rFonts w:ascii="Calibri" w:hAnsi="Calibri" w:cs="Calibri"/>
        </w:rPr>
        <w:t xml:space="preserve">results. Through interactive activities, participants will share and develop concrete strategies that help </w:t>
      </w:r>
      <w:r>
        <w:rPr>
          <w:rFonts w:ascii="Calibri" w:hAnsi="Calibri" w:cs="Calibri"/>
        </w:rPr>
        <w:t xml:space="preserve">their </w:t>
      </w:r>
      <w:r w:rsidRPr="00ED242D">
        <w:rPr>
          <w:rFonts w:ascii="Calibri" w:hAnsi="Calibri" w:cs="Calibri"/>
        </w:rPr>
        <w:t xml:space="preserve">students </w:t>
      </w:r>
      <w:r>
        <w:rPr>
          <w:rFonts w:ascii="Calibri" w:hAnsi="Calibri" w:cs="Calibri"/>
        </w:rPr>
        <w:t>immerse themselves in rich and meaningful</w:t>
      </w:r>
      <w:r w:rsidRPr="00ED242D">
        <w:rPr>
          <w:rFonts w:ascii="Calibri" w:hAnsi="Calibri" w:cs="Calibri"/>
        </w:rPr>
        <w:t xml:space="preserve"> language and move toward spontaneous communication. </w:t>
      </w:r>
      <w:r>
        <w:rPr>
          <w:rFonts w:ascii="Calibri" w:hAnsi="Calibri" w:cs="Calibri"/>
        </w:rPr>
        <w:t>Participants</w:t>
      </w:r>
      <w:r w:rsidRPr="00ED242D">
        <w:rPr>
          <w:rFonts w:ascii="Calibri" w:hAnsi="Calibri" w:cs="Calibri"/>
        </w:rPr>
        <w:t xml:space="preserve"> will leave this session with a toolkit of practical ideas and activities ready to use in </w:t>
      </w:r>
      <w:r>
        <w:rPr>
          <w:rFonts w:ascii="Calibri" w:hAnsi="Calibri" w:cs="Calibri"/>
        </w:rPr>
        <w:t>their</w:t>
      </w:r>
      <w:r w:rsidRPr="00ED242D">
        <w:rPr>
          <w:rFonts w:ascii="Calibri" w:hAnsi="Calibri" w:cs="Calibri"/>
        </w:rPr>
        <w:t xml:space="preserve"> own teaching context to boost </w:t>
      </w:r>
      <w:r>
        <w:rPr>
          <w:rFonts w:ascii="Calibri" w:hAnsi="Calibri" w:cs="Calibri"/>
        </w:rPr>
        <w:t>their</w:t>
      </w:r>
      <w:r w:rsidRPr="00ED242D">
        <w:rPr>
          <w:rFonts w:ascii="Calibri" w:hAnsi="Calibri" w:cs="Calibri"/>
        </w:rPr>
        <w:t xml:space="preserve"> students' language confidence and learning autonomy.</w:t>
      </w:r>
    </w:p>
    <w:sectPr w:rsidR="00C324C6" w:rsidRPr="00ED242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83E0F" w14:textId="77777777" w:rsidR="009833D0" w:rsidRDefault="009833D0" w:rsidP="00ED242D">
      <w:pPr>
        <w:spacing w:after="0" w:line="240" w:lineRule="auto"/>
      </w:pPr>
      <w:r>
        <w:separator/>
      </w:r>
    </w:p>
  </w:endnote>
  <w:endnote w:type="continuationSeparator" w:id="0">
    <w:p w14:paraId="6E88F82B" w14:textId="77777777" w:rsidR="009833D0" w:rsidRDefault="009833D0" w:rsidP="00ED2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5F24D" w14:textId="77777777" w:rsidR="009833D0" w:rsidRDefault="009833D0" w:rsidP="00ED242D">
      <w:pPr>
        <w:spacing w:after="0" w:line="240" w:lineRule="auto"/>
      </w:pPr>
      <w:r>
        <w:separator/>
      </w:r>
    </w:p>
  </w:footnote>
  <w:footnote w:type="continuationSeparator" w:id="0">
    <w:p w14:paraId="18891577" w14:textId="77777777" w:rsidR="009833D0" w:rsidRDefault="009833D0" w:rsidP="00ED2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6B1E" w14:textId="77777777" w:rsidR="00ED242D" w:rsidRPr="00E6750C" w:rsidRDefault="00ED242D" w:rsidP="00ED242D">
    <w:pPr>
      <w:pStyle w:val="Header"/>
      <w:rPr>
        <w:rFonts w:ascii="Calibri" w:hAnsi="Calibri" w:cs="Calibri"/>
        <w:sz w:val="18"/>
        <w:szCs w:val="18"/>
      </w:rPr>
    </w:pPr>
    <w:r w:rsidRPr="00E6750C">
      <w:rPr>
        <w:rFonts w:ascii="Calibri" w:hAnsi="Calibri" w:cs="Calibri"/>
        <w:sz w:val="18"/>
        <w:szCs w:val="18"/>
      </w:rPr>
      <w:t>JALT International Conference, Nagoya, 20-22 Nov 2026</w:t>
    </w:r>
  </w:p>
  <w:p w14:paraId="1BE4AA63" w14:textId="77777777" w:rsidR="00ED242D" w:rsidRDefault="00ED24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42D"/>
    <w:rsid w:val="00052C1B"/>
    <w:rsid w:val="001278FB"/>
    <w:rsid w:val="001A759D"/>
    <w:rsid w:val="004157DF"/>
    <w:rsid w:val="0059474C"/>
    <w:rsid w:val="00736D69"/>
    <w:rsid w:val="009833D0"/>
    <w:rsid w:val="00A20A26"/>
    <w:rsid w:val="00A77EA2"/>
    <w:rsid w:val="00AF5116"/>
    <w:rsid w:val="00BC72C3"/>
    <w:rsid w:val="00C324C6"/>
    <w:rsid w:val="00DF74A3"/>
    <w:rsid w:val="00ED242D"/>
    <w:rsid w:val="00F6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570AE"/>
  <w15:chartTrackingRefBased/>
  <w15:docId w15:val="{FDF6EAC5-FC1B-447A-8464-1C7BA2E0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4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4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4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4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4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4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4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4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4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42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D24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42D"/>
  </w:style>
  <w:style w:type="paragraph" w:styleId="Footer">
    <w:name w:val="footer"/>
    <w:basedOn w:val="Normal"/>
    <w:link w:val="FooterChar"/>
    <w:uiPriority w:val="99"/>
    <w:unhideWhenUsed/>
    <w:rsid w:val="00ED24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Renandya</dc:creator>
  <cp:keywords/>
  <dc:description/>
  <cp:lastModifiedBy>Willy Renandya</cp:lastModifiedBy>
  <cp:revision>4</cp:revision>
  <dcterms:created xsi:type="dcterms:W3CDTF">2026-06-15T01:11:00Z</dcterms:created>
  <dcterms:modified xsi:type="dcterms:W3CDTF">2026-06-16T07:31:00Z</dcterms:modified>
</cp:coreProperties>
</file>